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83EF" w14:textId="77777777" w:rsidR="00125A26" w:rsidRDefault="004337D8">
      <w:pPr>
        <w:rPr>
          <w:sz w:val="28"/>
          <w:szCs w:val="28"/>
        </w:rPr>
      </w:pPr>
      <w:r>
        <w:rPr>
          <w:noProof/>
          <w:lang w:bidi="ar-SA"/>
        </w:rPr>
        <mc:AlternateContent>
          <mc:Choice Requires="wps">
            <w:drawing>
              <wp:anchor distT="0" distB="0" distL="114300" distR="114300" simplePos="0" relativeHeight="251658240" behindDoc="0" locked="0" layoutInCell="1" hidden="0" allowOverlap="1" wp14:anchorId="5B2F0291" wp14:editId="358260A6">
                <wp:simplePos x="0" y="0"/>
                <wp:positionH relativeFrom="margin">
                  <wp:posOffset>-495301</wp:posOffset>
                </wp:positionH>
                <wp:positionV relativeFrom="paragraph">
                  <wp:posOffset>-752474</wp:posOffset>
                </wp:positionV>
                <wp:extent cx="2066925" cy="1847850"/>
                <wp:effectExtent l="0" t="0" r="28575" b="19050"/>
                <wp:wrapNone/>
                <wp:docPr id="308" name="مربع نص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6925" cy="1847850"/>
                        </a:xfrm>
                        <a:prstGeom prst="rect">
                          <a:avLst/>
                        </a:prstGeom>
                        <a:solidFill>
                          <a:srgbClr val="FFFFFF"/>
                        </a:solidFill>
                        <a:ln w="9525">
                          <a:solidFill>
                            <a:srgbClr val="000000"/>
                          </a:solidFill>
                          <a:miter lim="800000"/>
                          <a:headEnd/>
                          <a:tailEnd/>
                        </a:ln>
                      </wps:spPr>
                      <wps:txbx>
                        <w:txbxContent>
                          <w:p w14:paraId="73D91BC2" w14:textId="77777777" w:rsidR="002350C4" w:rsidRPr="004337D8" w:rsidRDefault="004337D8" w:rsidP="004337D8">
                            <w:pPr>
                              <w:jc w:val="center"/>
                              <w:rPr>
                                <w:rFonts w:cstheme="minorBidi"/>
                                <w:rtl/>
                              </w:rPr>
                            </w:pPr>
                            <w:r w:rsidRPr="004337D8">
                              <w:rPr>
                                <w:rFonts w:hint="cs"/>
                                <w:noProof/>
                                <w:rtl/>
                              </w:rPr>
                              <w:drawing>
                                <wp:inline distT="0" distB="0" distL="0" distR="0" wp14:anchorId="4EACD1B3" wp14:editId="56F5A062">
                                  <wp:extent cx="1875155" cy="1803947"/>
                                  <wp:effectExtent l="0" t="0" r="0" b="635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5155" cy="18039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2F0291" id="_x0000_t202" coordsize="21600,21600" o:spt="202" path="m,l,21600r21600,l21600,xe">
                <v:stroke joinstyle="miter"/>
                <v:path gradientshapeok="t" o:connecttype="rect"/>
              </v:shapetype>
              <v:shape id="مربع نص 308" o:spid="_x0000_s1026" type="#_x0000_t202" style="position:absolute;left:0;text-align:left;margin-left:-39pt;margin-top:-59.25pt;width:162.75pt;height:14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">
                <v:textbox>
                  <w:txbxContent>
                    <w:p w14:paraId="73D91BC2" w14:textId="77777777" w:rsidR="002350C4" w:rsidRPr="004337D8" w:rsidRDefault="004337D8" w:rsidP="004337D8">
                      <w:pPr>
                        <w:jc w:val="center"/>
                        <w:rPr>
                          <w:rFonts w:cstheme="minorBidi"/>
                          <w:rtl/>
                        </w:rPr>
                      </w:pPr>
                      <w:r w:rsidRPr="004337D8">
                        <w:rPr>
                          <w:rFonts w:hint="cs"/>
                          <w:noProof/>
                          <w:rtl/>
                        </w:rPr>
                        <w:drawing>
                          <wp:inline distT="0" distB="0" distL="0" distR="0" wp14:anchorId="4EACD1B3" wp14:editId="56F5A062">
                            <wp:extent cx="1875155" cy="1803947"/>
                            <wp:effectExtent l="0" t="0" r="0" b="635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5155" cy="1803947"/>
                                    </a:xfrm>
                                    <a:prstGeom prst="rect">
                                      <a:avLst/>
                                    </a:prstGeom>
                                    <a:noFill/>
                                    <a:ln>
                                      <a:noFill/>
                                    </a:ln>
                                  </pic:spPr>
                                </pic:pic>
                              </a:graphicData>
                            </a:graphic>
                          </wp:inline>
                        </w:drawing>
                      </w:r>
                    </w:p>
                  </w:txbxContent>
                </v:textbox>
                <w10:wrap anchorx="margin"/>
              </v:shape>
            </w:pict>
          </mc:Fallback>
        </mc:AlternateContent>
      </w:r>
    </w:p>
    <w:p w14:paraId="74CE2197" w14:textId="77777777" w:rsidR="004337D8" w:rsidRDefault="004337D8" w:rsidP="004337D8">
      <w:pPr>
        <w:rPr>
          <w:rFonts w:cs="Times New Roman"/>
          <w:sz w:val="28"/>
          <w:szCs w:val="28"/>
          <w:rtl/>
        </w:rPr>
      </w:pPr>
      <w:r>
        <w:rPr>
          <w:rFonts w:cs="Times New Roman"/>
          <w:sz w:val="28"/>
          <w:szCs w:val="28"/>
          <w:rtl/>
        </w:rPr>
        <w:t>م</w:t>
      </w:r>
      <w:r>
        <w:rPr>
          <w:sz w:val="28"/>
          <w:szCs w:val="28"/>
          <w:rtl/>
        </w:rPr>
        <w:t xml:space="preserve">. </w:t>
      </w:r>
      <w:r>
        <w:rPr>
          <w:rFonts w:cs="Times New Roman"/>
          <w:sz w:val="28"/>
          <w:szCs w:val="28"/>
          <w:rtl/>
        </w:rPr>
        <w:t xml:space="preserve">م </w:t>
      </w:r>
      <w:r>
        <w:rPr>
          <w:rFonts w:cs="Times New Roman" w:hint="cs"/>
          <w:sz w:val="28"/>
          <w:szCs w:val="28"/>
          <w:rtl/>
        </w:rPr>
        <w:t>محمد جاسم محمد</w:t>
      </w:r>
    </w:p>
    <w:p w14:paraId="22EB9FC9" w14:textId="77777777" w:rsidR="00125A26" w:rsidRDefault="004337D8" w:rsidP="004337D8">
      <w:pPr>
        <w:rPr>
          <w:sz w:val="28"/>
          <w:szCs w:val="28"/>
        </w:rPr>
      </w:pPr>
      <w:r>
        <w:rPr>
          <w:rFonts w:cs="Times New Roman" w:hint="cs"/>
          <w:sz w:val="28"/>
          <w:szCs w:val="28"/>
          <w:rtl/>
        </w:rPr>
        <w:t>كلية طب الاسنان جامعة ديالى</w:t>
      </w:r>
      <w:r>
        <w:rPr>
          <w:rFonts w:cs="Times New Roman"/>
          <w:sz w:val="28"/>
          <w:szCs w:val="28"/>
          <w:rtl/>
        </w:rPr>
        <w:t xml:space="preserve"> </w:t>
      </w:r>
    </w:p>
    <w:p w14:paraId="445D9426" w14:textId="77777777" w:rsidR="00125A26" w:rsidRPr="004337D8" w:rsidRDefault="004337D8">
      <w:pPr>
        <w:rPr>
          <w:b/>
          <w:bCs/>
          <w:sz w:val="28"/>
          <w:szCs w:val="28"/>
        </w:rPr>
      </w:pPr>
      <w:r w:rsidRPr="004337D8">
        <w:rPr>
          <w:rFonts w:cs="Times New Roman"/>
          <w:b/>
          <w:bCs/>
          <w:sz w:val="28"/>
          <w:szCs w:val="28"/>
          <w:rtl/>
        </w:rPr>
        <w:t>التكامل بين الكيمياء الحياتية السريرية وطب الأسنان في التشخيص والعلاج</w:t>
      </w:r>
    </w:p>
    <w:p w14:paraId="55093D23" w14:textId="77777777" w:rsidR="00125A26" w:rsidRDefault="00125A26">
      <w:pPr>
        <w:rPr>
          <w:sz w:val="28"/>
          <w:szCs w:val="28"/>
        </w:rPr>
      </w:pPr>
      <w:bookmarkStart w:id="0" w:name="_gjdgxs" w:colFirst="0" w:colLast="0"/>
      <w:bookmarkEnd w:id="0"/>
    </w:p>
    <w:p w14:paraId="5E7B3E8E" w14:textId="77777777" w:rsidR="004337D8" w:rsidRPr="004337D8" w:rsidRDefault="004337D8" w:rsidP="004337D8">
      <w:pPr>
        <w:rPr>
          <w:rFonts w:cstheme="minorBidi"/>
          <w:b/>
          <w:bCs/>
          <w:sz w:val="28"/>
          <w:szCs w:val="28"/>
          <w:rtl/>
        </w:rPr>
      </w:pPr>
      <w:r w:rsidRPr="004337D8">
        <w:rPr>
          <w:rFonts w:cs="Times New Roman"/>
          <w:b/>
          <w:bCs/>
          <w:sz w:val="28"/>
          <w:szCs w:val="28"/>
          <w:rtl/>
        </w:rPr>
        <w:t>أهمية الكيمياء الحياتية السريرية في الممارسة الطبية</w:t>
      </w:r>
    </w:p>
    <w:p w14:paraId="391BBB6E" w14:textId="77777777" w:rsidR="004337D8" w:rsidRPr="004337D8" w:rsidRDefault="004337D8" w:rsidP="004337D8">
      <w:pPr>
        <w:rPr>
          <w:rFonts w:cs="Times New Roman"/>
          <w:sz w:val="28"/>
          <w:szCs w:val="28"/>
          <w:rtl/>
        </w:rPr>
      </w:pPr>
      <w:r w:rsidRPr="004337D8">
        <w:rPr>
          <w:rFonts w:cs="Times New Roman"/>
          <w:sz w:val="28"/>
          <w:szCs w:val="28"/>
          <w:rtl/>
        </w:rPr>
        <w:t>تُعدّ الكيمياء الحياتية السريرية من العلوم الطبية الأساسية التي تهتم بدراسة التغيرات الكيميائية والوظيفية التي تطرأ على مكونات الجسم في حالتي الصحة والمرض. وقد أصبح لها دور متزايد في دعم التشخيص والتخطيط العلاجي في طب الأسنان، ولا سيما مع تطور الممارسات السريرية والحاجة إلى تقييم الحالة الصحية العامة للمريض قبل وأثناء وبعد المعالجات السنية.</w:t>
      </w:r>
    </w:p>
    <w:p w14:paraId="77F24FBD" w14:textId="77777777" w:rsidR="004337D8" w:rsidRPr="004337D8" w:rsidRDefault="004337D8" w:rsidP="004337D8">
      <w:pPr>
        <w:rPr>
          <w:rFonts w:cs="Times New Roman"/>
          <w:b/>
          <w:bCs/>
          <w:sz w:val="28"/>
          <w:szCs w:val="28"/>
          <w:rtl/>
        </w:rPr>
      </w:pPr>
      <w:r w:rsidRPr="004337D8">
        <w:rPr>
          <w:rFonts w:cs="Times New Roman"/>
          <w:b/>
          <w:bCs/>
          <w:sz w:val="28"/>
          <w:szCs w:val="28"/>
          <w:rtl/>
        </w:rPr>
        <w:t>الانعكاسات الفموية للأمراض الجهازية</w:t>
      </w:r>
    </w:p>
    <w:p w14:paraId="25E9EB44" w14:textId="77777777" w:rsidR="004337D8" w:rsidRPr="004337D8" w:rsidRDefault="004337D8" w:rsidP="004337D8">
      <w:pPr>
        <w:rPr>
          <w:rFonts w:cs="Times New Roman"/>
          <w:sz w:val="28"/>
          <w:szCs w:val="28"/>
          <w:rtl/>
        </w:rPr>
      </w:pPr>
      <w:r w:rsidRPr="004337D8">
        <w:rPr>
          <w:rFonts w:cs="Times New Roman"/>
          <w:sz w:val="28"/>
          <w:szCs w:val="28"/>
          <w:rtl/>
        </w:rPr>
        <w:t>تُظهر العديد من الأمراض الجهازية انعكاساتها المباشرة على أنسجة الفم والأسنان، ويمكن للتحليلات الكيميائية الحيوية أن تسهم في تشخيصها ومتابعتها. فداء السكري، على سبيل المثال، يزيد من قابلية الإصابة بأمراض اللثة وتأخر التئام الجروح الفموية، ويمكن تقييمه من خلال قياس مستويات الغلوكوز في الدم و</w:t>
      </w:r>
      <w:r w:rsidRPr="004337D8">
        <w:rPr>
          <w:sz w:val="28"/>
          <w:szCs w:val="28"/>
        </w:rPr>
        <w:t>HbA1c</w:t>
      </w:r>
      <w:r w:rsidRPr="004337D8">
        <w:rPr>
          <w:rFonts w:cs="Times New Roman"/>
          <w:sz w:val="28"/>
          <w:szCs w:val="28"/>
          <w:rtl/>
        </w:rPr>
        <w:t xml:space="preserve">. كما تؤثر اضطرابات استقلاب الكالسيوم والفوسفور وفيتامين </w:t>
      </w:r>
      <w:r w:rsidRPr="004337D8">
        <w:rPr>
          <w:sz w:val="28"/>
          <w:szCs w:val="28"/>
        </w:rPr>
        <w:t>D</w:t>
      </w:r>
      <w:r w:rsidRPr="004337D8">
        <w:rPr>
          <w:rFonts w:cs="Times New Roman"/>
          <w:sz w:val="28"/>
          <w:szCs w:val="28"/>
          <w:rtl/>
        </w:rPr>
        <w:t xml:space="preserve"> في تمعدن الأسنان وسلامة العظم السنخي. كذلك، فإن اضطرابات وظائف الكبد والكلى قد تنعكس على الأغشية المخاطية الفموية، في حين يساعد تشخيص فقر الدم واضطرابات الحديد في تفسير مظاهر سريرية مثل شحوب اللثة والتهاب اللسان.</w:t>
      </w:r>
    </w:p>
    <w:p w14:paraId="19F34EDF" w14:textId="77777777" w:rsidR="004337D8" w:rsidRPr="004337D8" w:rsidRDefault="004337D8" w:rsidP="004337D8">
      <w:pPr>
        <w:rPr>
          <w:rFonts w:cs="Times New Roman"/>
          <w:b/>
          <w:bCs/>
          <w:sz w:val="28"/>
          <w:szCs w:val="28"/>
          <w:rtl/>
        </w:rPr>
      </w:pPr>
      <w:r w:rsidRPr="004337D8">
        <w:rPr>
          <w:rFonts w:cs="Times New Roman"/>
          <w:b/>
          <w:bCs/>
          <w:sz w:val="28"/>
          <w:szCs w:val="28"/>
          <w:rtl/>
        </w:rPr>
        <w:t>دور التحاليل الكيميائية الحيوية في التخطيط العلاجي السني</w:t>
      </w:r>
    </w:p>
    <w:p w14:paraId="26257936" w14:textId="77777777" w:rsidR="004337D8" w:rsidRPr="004337D8" w:rsidRDefault="004337D8" w:rsidP="004337D8">
      <w:pPr>
        <w:rPr>
          <w:rFonts w:cs="Times New Roman"/>
          <w:sz w:val="28"/>
          <w:szCs w:val="28"/>
          <w:rtl/>
        </w:rPr>
      </w:pPr>
      <w:r w:rsidRPr="004337D8">
        <w:rPr>
          <w:rFonts w:cs="Times New Roman"/>
          <w:sz w:val="28"/>
          <w:szCs w:val="28"/>
          <w:rtl/>
        </w:rPr>
        <w:t>تمثل التحاليل الكيميائية الحيوية عنصرًا أساسيًا في التخطيط العلاجي السني، ولا سيما قبل الإجراءات الجراحية والمعالجات المتقدمة. إذ تساعد اختبارات التخثر ووظائف الكبد والكلى ومستويات السكر في الدم طبيب الأسنان على تقييم المخاطر المحتملة وضمان سلامة المريض أثناء العلاج، إضافة إلى اختيار نوع التخدير والأدوية المناسبة وتجنب التداخلات الدوائية، خاصة لدى المرضى المصابين بأمراض مزمنة.</w:t>
      </w:r>
    </w:p>
    <w:p w14:paraId="06A7C8F0" w14:textId="77777777" w:rsidR="004337D8" w:rsidRPr="004337D8" w:rsidRDefault="004337D8" w:rsidP="004337D8">
      <w:pPr>
        <w:rPr>
          <w:rFonts w:cs="Times New Roman"/>
          <w:b/>
          <w:bCs/>
          <w:sz w:val="28"/>
          <w:szCs w:val="28"/>
          <w:rtl/>
        </w:rPr>
      </w:pPr>
      <w:r w:rsidRPr="004337D8">
        <w:rPr>
          <w:rFonts w:cs="Times New Roman"/>
          <w:b/>
          <w:bCs/>
          <w:sz w:val="28"/>
          <w:szCs w:val="28"/>
          <w:rtl/>
        </w:rPr>
        <w:t>اللعاب كأداة تشخيصية حديثة</w:t>
      </w:r>
    </w:p>
    <w:p w14:paraId="6DD45B21" w14:textId="77777777" w:rsidR="004337D8" w:rsidRDefault="004337D8" w:rsidP="004337D8">
      <w:pPr>
        <w:rPr>
          <w:rFonts w:cs="Times New Roman"/>
          <w:sz w:val="28"/>
          <w:szCs w:val="28"/>
          <w:rtl/>
        </w:rPr>
      </w:pPr>
      <w:r w:rsidRPr="004337D8">
        <w:rPr>
          <w:rFonts w:cs="Times New Roman"/>
          <w:sz w:val="28"/>
          <w:szCs w:val="28"/>
          <w:rtl/>
        </w:rPr>
        <w:t>أظهرت الدراسات الحديثة اهتمامًا متزايدًا باستخدام اللعاب كوسط تشخيصي في الكيمياء الحياتية السريرية، نظرًا لسهولة جمعه واحتوائه على إنزيمات وبروتينات وأيونات ومؤشرات التهابية تعكس الحالة الصحية للفم والجسم. وقد أتاح تحليل اللعاب إمكانية الكشف المبكر عن تسوس الأسنان وتقييم شدة أمراض اللثة، فضلًا عن دوره في دعم الطب الوقائي.</w:t>
      </w:r>
    </w:p>
    <w:p w14:paraId="06B8E6D2" w14:textId="77777777" w:rsidR="004337D8" w:rsidRDefault="004337D8" w:rsidP="004337D8">
      <w:pPr>
        <w:rPr>
          <w:rFonts w:cs="Times New Roman"/>
          <w:sz w:val="28"/>
          <w:szCs w:val="28"/>
          <w:rtl/>
        </w:rPr>
      </w:pPr>
    </w:p>
    <w:p w14:paraId="7E7BB411" w14:textId="77777777" w:rsidR="004337D8" w:rsidRPr="004337D8" w:rsidRDefault="004337D8" w:rsidP="004337D8">
      <w:pPr>
        <w:rPr>
          <w:rFonts w:cs="Times New Roman"/>
          <w:sz w:val="28"/>
          <w:szCs w:val="28"/>
          <w:rtl/>
        </w:rPr>
      </w:pPr>
    </w:p>
    <w:p w14:paraId="6AB7EFB4" w14:textId="77777777" w:rsidR="004337D8" w:rsidRPr="004337D8" w:rsidRDefault="004337D8" w:rsidP="004337D8">
      <w:pPr>
        <w:rPr>
          <w:rFonts w:cs="Times New Roman"/>
          <w:b/>
          <w:bCs/>
          <w:sz w:val="28"/>
          <w:szCs w:val="28"/>
          <w:rtl/>
        </w:rPr>
      </w:pPr>
      <w:r w:rsidRPr="004337D8">
        <w:rPr>
          <w:rFonts w:cs="Times New Roman"/>
          <w:b/>
          <w:bCs/>
          <w:sz w:val="28"/>
          <w:szCs w:val="28"/>
          <w:rtl/>
        </w:rPr>
        <w:t>إسهام الكيمياء الحياتية السريرية في البحث العلمي السني</w:t>
      </w:r>
    </w:p>
    <w:p w14:paraId="2D73AC13" w14:textId="77777777" w:rsidR="004337D8" w:rsidRPr="004337D8" w:rsidRDefault="004337D8" w:rsidP="004337D8">
      <w:pPr>
        <w:rPr>
          <w:rFonts w:cs="Times New Roman"/>
          <w:sz w:val="28"/>
          <w:szCs w:val="28"/>
          <w:rtl/>
        </w:rPr>
      </w:pPr>
      <w:r w:rsidRPr="004337D8">
        <w:rPr>
          <w:rFonts w:cs="Times New Roman"/>
          <w:sz w:val="28"/>
          <w:szCs w:val="28"/>
          <w:rtl/>
        </w:rPr>
        <w:t>تسهم الكيمياء الحياتية السريرية في تطوير البحث العلمي في طب الأسنان من خلال دراسة التغيرات الأيضية المرتبطة بأمراض الفم، وتحليل التفاعل الحيوي للمواد السنية مع الأنسجة الحية، وتقييم فعالية العلاجات الدوائية والوقائية، مما يدعم تطوير بروتوكولات علاجية حديثة قائمة على أسس علمية دقيقة.</w:t>
      </w:r>
    </w:p>
    <w:p w14:paraId="499D2D05" w14:textId="77777777" w:rsidR="004337D8" w:rsidRPr="004337D8" w:rsidRDefault="004337D8" w:rsidP="004337D8">
      <w:pPr>
        <w:rPr>
          <w:rFonts w:cs="Times New Roman"/>
          <w:b/>
          <w:bCs/>
          <w:sz w:val="28"/>
          <w:szCs w:val="28"/>
          <w:rtl/>
        </w:rPr>
      </w:pPr>
      <w:r w:rsidRPr="004337D8">
        <w:rPr>
          <w:rFonts w:cs="Times New Roman"/>
          <w:b/>
          <w:bCs/>
          <w:sz w:val="28"/>
          <w:szCs w:val="28"/>
          <w:rtl/>
        </w:rPr>
        <w:t>التكامل العلمي وأثره في تحسين الرعاية الفموية</w:t>
      </w:r>
    </w:p>
    <w:p w14:paraId="2DD4E3AC" w14:textId="77777777" w:rsidR="00125A26" w:rsidRDefault="004337D8" w:rsidP="004337D8">
      <w:pPr>
        <w:jc w:val="both"/>
        <w:rPr>
          <w:sz w:val="28"/>
          <w:szCs w:val="28"/>
        </w:rPr>
      </w:pPr>
      <w:r w:rsidRPr="004337D8">
        <w:rPr>
          <w:rFonts w:cs="Times New Roman"/>
          <w:sz w:val="28"/>
          <w:szCs w:val="28"/>
          <w:rtl/>
        </w:rPr>
        <w:t>إن التكامل بين الكيمياء الحياتية السريرية وطب الأسنان يسهم في تعزيز دقة التشخيص وتحسين التخطيط العلاجي والارتقاء بمستوى الرعاية الصحية الفموية، ويؤكد أهمية إدماج هذه المفاهيم ضمن التعليم والممارسة السريرية لطلبة وأطباء طب الأسنان بما يخدم صحة الفرد والمجتمع.</w:t>
      </w:r>
    </w:p>
    <w:sectPr w:rsidR="00125A26">
      <w:pgSz w:w="11906" w:h="16838"/>
      <w:pgMar w:top="1440" w:right="1440" w:bottom="1440" w:left="1440" w:header="720" w:footer="720" w:gutter="0"/>
      <w:pgNumType w:start="1"/>
      <w:cols w:space="720" w:equalWidth="0">
        <w:col w:w="9360"/>
      </w:cols>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25A26"/>
    <w:rsid w:val="00125A26"/>
    <w:rsid w:val="002350C4"/>
    <w:rsid w:val="004337D8"/>
    <w:rsid w:val="00770D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700B"/>
  <w15:docId w15:val="{9BF773BC-E430-CF49-815F-F130530B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bidi="ar-IQ"/>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Char"/>
    <w:uiPriority w:val="99"/>
    <w:semiHidden/>
    <w:unhideWhenUsed/>
    <w:rsid w:val="00A80AD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80ADE"/>
    <w:rPr>
      <w:rFonts w:ascii="Tahoma" w:hAnsi="Tahoma" w:cs="Tahoma"/>
      <w:sz w:val="16"/>
      <w:szCs w:val="16"/>
      <w:lang w:bidi="ar-IQ"/>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wmf"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2173</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mscm</dc:creator>
  <cp:lastModifiedBy>memo.goker88@gmail.com</cp:lastModifiedBy>
  <cp:revision>2</cp:revision>
  <dcterms:created xsi:type="dcterms:W3CDTF">2025-12-28T23:17:00Z</dcterms:created>
  <dcterms:modified xsi:type="dcterms:W3CDTF">2025-12-28T23:17:00Z</dcterms:modified>
</cp:coreProperties>
</file>